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B7A0D" w14:textId="77777777" w:rsidR="00F07F20" w:rsidRDefault="00F07F20" w:rsidP="00F07F20">
      <w:pPr>
        <w:ind w:firstLine="708"/>
        <w:jc w:val="both"/>
        <w:rPr>
          <w:rFonts w:ascii="Century Schoolbook" w:hAnsi="Century Schoolbook"/>
          <w:b/>
          <w:sz w:val="24"/>
          <w:szCs w:val="24"/>
        </w:rPr>
      </w:pPr>
      <w:r>
        <w:rPr>
          <w:rFonts w:ascii="Century Schoolbook" w:hAnsi="Century Schoolbook"/>
          <w:b/>
          <w:sz w:val="24"/>
          <w:szCs w:val="24"/>
        </w:rPr>
        <w:t>DERECHOS HUMANOS Y FISCALIDAD</w:t>
      </w:r>
    </w:p>
    <w:p w14:paraId="6ED63124" w14:textId="77777777" w:rsidR="00F07F20" w:rsidRDefault="00F07F20" w:rsidP="00F07F20">
      <w:pPr>
        <w:ind w:firstLine="708"/>
        <w:jc w:val="both"/>
        <w:rPr>
          <w:rFonts w:ascii="Century Schoolbook" w:hAnsi="Century Schoolbook"/>
          <w:sz w:val="24"/>
          <w:szCs w:val="24"/>
        </w:rPr>
      </w:pPr>
    </w:p>
    <w:p w14:paraId="2A282BEA" w14:textId="77777777" w:rsidR="00F07F20" w:rsidRDefault="00F07F20" w:rsidP="00F07F20">
      <w:pPr>
        <w:ind w:firstLine="708"/>
        <w:jc w:val="both"/>
        <w:rPr>
          <w:rFonts w:ascii="Century Schoolbook" w:hAnsi="Century Schoolbook"/>
          <w:sz w:val="24"/>
          <w:szCs w:val="24"/>
        </w:rPr>
      </w:pPr>
      <w:r>
        <w:rPr>
          <w:rFonts w:ascii="Century Schoolbook" w:hAnsi="Century Schoolbook"/>
          <w:b/>
          <w:sz w:val="24"/>
          <w:szCs w:val="24"/>
        </w:rPr>
        <w:t>Resolución 1/20</w:t>
      </w:r>
      <w:r>
        <w:rPr>
          <w:rFonts w:ascii="Century Schoolbook" w:hAnsi="Century Schoolbook"/>
          <w:sz w:val="24"/>
          <w:szCs w:val="24"/>
        </w:rPr>
        <w:t xml:space="preserve"> de la </w:t>
      </w:r>
      <w:r>
        <w:rPr>
          <w:rFonts w:ascii="Century Schoolbook" w:hAnsi="Century Schoolbook"/>
          <w:b/>
          <w:sz w:val="24"/>
          <w:szCs w:val="24"/>
        </w:rPr>
        <w:t>Corte Interamericana de Derechos Humanos</w:t>
      </w:r>
      <w:r>
        <w:rPr>
          <w:rFonts w:ascii="Century Schoolbook" w:hAnsi="Century Schoolbook"/>
          <w:sz w:val="24"/>
          <w:szCs w:val="24"/>
        </w:rPr>
        <w:t>, dictada el día 10 de abril de 2020, en la cual exhorta a los Estados Partes de las Américas, a privilegiar los Derechos Humanos en las Políticas de Estados que se tomen. Esta visión cortesana lleva a indagar en las cuestiones fiscales que se plantean ante esta crisis extraordinaria, y consecuentemente se bosquejan ciertas ideas sobre el presente, pero también se alude al día después.</w:t>
      </w:r>
    </w:p>
    <w:p w14:paraId="622970F8" w14:textId="77777777" w:rsidR="00F07F20" w:rsidRDefault="00F07F20" w:rsidP="00F07F20">
      <w:pPr>
        <w:jc w:val="both"/>
        <w:rPr>
          <w:rFonts w:ascii="Century Schoolbook" w:hAnsi="Century Schoolbook"/>
          <w:sz w:val="24"/>
          <w:szCs w:val="24"/>
        </w:rPr>
      </w:pPr>
    </w:p>
    <w:p w14:paraId="6ADFC670" w14:textId="77777777" w:rsidR="00F07F20" w:rsidRDefault="00F07F20" w:rsidP="00F07F20">
      <w:pPr>
        <w:jc w:val="both"/>
        <w:rPr>
          <w:rFonts w:ascii="Century Schoolbook" w:hAnsi="Century Schoolbook"/>
          <w:sz w:val="24"/>
          <w:szCs w:val="24"/>
        </w:rPr>
      </w:pPr>
      <w:r>
        <w:rPr>
          <w:rFonts w:ascii="Century Schoolbook" w:hAnsi="Century Schoolbook"/>
          <w:sz w:val="24"/>
          <w:szCs w:val="24"/>
        </w:rPr>
        <w:tab/>
        <w:t>La Corte Interamericana de Derechos Humanos en esta Resolución, funda y aporta recomendaciones sobre el trato sanitario, económico y social, que debe dispensarse, ante las consecuencias y alcances, que, sobre los derechos del hombre provoca la pandemia COVID-19.</w:t>
      </w:r>
    </w:p>
    <w:p w14:paraId="25CCA98E" w14:textId="77777777" w:rsidR="00F07F20" w:rsidRDefault="00F07F20" w:rsidP="00F07F20">
      <w:pPr>
        <w:jc w:val="both"/>
        <w:rPr>
          <w:rFonts w:ascii="Century Schoolbook" w:hAnsi="Century Schoolbook"/>
          <w:sz w:val="24"/>
          <w:szCs w:val="24"/>
        </w:rPr>
      </w:pPr>
      <w:r>
        <w:rPr>
          <w:rFonts w:ascii="Century Schoolbook" w:hAnsi="Century Schoolbook"/>
          <w:sz w:val="24"/>
          <w:szCs w:val="24"/>
        </w:rPr>
        <w:tab/>
        <w:t xml:space="preserve">En esta inteligencia, transita por la disyuntiva: </w:t>
      </w:r>
      <w:r>
        <w:rPr>
          <w:rFonts w:ascii="Century Schoolbook" w:hAnsi="Century Schoolbook"/>
          <w:i/>
          <w:sz w:val="24"/>
          <w:szCs w:val="24"/>
        </w:rPr>
        <w:t>Política de Estado vs Derechos del Hombre</w:t>
      </w:r>
      <w:r>
        <w:rPr>
          <w:rFonts w:ascii="Century Schoolbook" w:hAnsi="Century Schoolbook"/>
          <w:sz w:val="24"/>
          <w:szCs w:val="24"/>
        </w:rPr>
        <w:t>, en el marco del Estado de Derecho.</w:t>
      </w:r>
    </w:p>
    <w:p w14:paraId="37917199" w14:textId="77777777" w:rsidR="00F07F20" w:rsidRDefault="00F07F20" w:rsidP="00F07F20">
      <w:pPr>
        <w:jc w:val="both"/>
        <w:rPr>
          <w:rFonts w:ascii="Century Schoolbook" w:hAnsi="Century Schoolbook"/>
          <w:sz w:val="24"/>
          <w:szCs w:val="24"/>
        </w:rPr>
      </w:pPr>
      <w:r>
        <w:rPr>
          <w:rFonts w:ascii="Century Schoolbook" w:hAnsi="Century Schoolbook"/>
          <w:sz w:val="24"/>
          <w:szCs w:val="24"/>
        </w:rPr>
        <w:tab/>
        <w:t>El Estado de Derecho Constitucional, como surge primigeniamente a los finales del siglo XVIII, evolución del hombre mediante, va a presentar profundos y auspiciosos cambios, especialmente con el surgimiento en 1945 de las Naciones Unidas, y demás organismos internacionales, continentales, regionales o comunitarios, de cuya fragua han surgido innumerables convenciones, las cuales, se han caracterizado, no solo, por enunciar los derechos del hombre, sino, además protegerlo, rodeándolos, tanto de numerosas garantías, como limitaciones al poder estatal. Pero la voluntad del hombre expresada en esos ordenamientos fue más allá, e instituyó Tribunales internacionales o continentales.</w:t>
      </w:r>
    </w:p>
    <w:p w14:paraId="61BFB938"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Esta estructura cuaternaria ha significado una nueva concepción del Estado de Derecho Constitucional. Hoy podría decirse, que se está frente a un Estado de Derecho Constitucional Convencional Humanista, donde, los vocablos agregados son la consecuencia de ubicar al hombre en el centro de la escena. Ahora, no solo cuenta con el respaldo constitucional de sus derechos, sino del convencionalismo, cuya preponderancia conceptual se ve reflejada, tanto en la influencia, como en la incorporación de las definiciones convencionales, fuera, en las expresiones legales, reglamentarias y jurisprudenciales constituyente del sistema de regulación jurídico de una Nación.</w:t>
      </w:r>
    </w:p>
    <w:p w14:paraId="133193DB"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Desde la atalaya de este marco conceptual pareciera razonable aprehender e interpretar esta Resolución.</w:t>
      </w:r>
    </w:p>
    <w:p w14:paraId="7001EB5B"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La Corte, en la introducción, los considerandos, y las numerosas recomendaciones a los Estados Partes, muestra la preocupación por proteger los derechos del hombre, admitiéndolos, en un marco de respeto por el Estado de Derecho, entendido este, como la concepción moderna mencionada.</w:t>
      </w:r>
    </w:p>
    <w:p w14:paraId="14AF081C"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En este sentido, considera que hay un reconocimiento ineludible de proteger los derechos, porque es la “…condición esencial para la democracia, el Estado de Derecho y el desarrollo sostenible…”. Trilogía conceptual, que otorga argumentos a la citada nueva concepción del Estado de Derecho.   </w:t>
      </w:r>
    </w:p>
    <w:p w14:paraId="19D6CC00"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lastRenderedPageBreak/>
        <w:t>Las preocupaciones son humanas, y se reflejan cuando hace hincapié en las personas vulnerables (adultos mayores; niños, niñas, y adolescente; discapacitados; sin capacidad económica; informales, entre otros)</w:t>
      </w:r>
    </w:p>
    <w:p w14:paraId="605CEDD2"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En las recomendaciones pone el énfasis subjetivo, en los mayores (41 a 45); en los privados de la libertad (46 a 49); mujeres (50 a54); indígenas (55 a 57); migrantes asilados, refugiados y otros agraviados (58 a 62); niños, niñas, adolescente (63 a 67); Personas LGBTI (68 a 71); afrodescendiente (72 a 75); discapacidad (76 a 80).</w:t>
      </w:r>
    </w:p>
    <w:p w14:paraId="681C789D"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Sin embargo, aborda otros vínculos, entre ellos los económicos, objeto de este comentario.</w:t>
      </w:r>
    </w:p>
    <w:p w14:paraId="274C0B62"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Las sociedades, y especialmente las latinoamericanas muestran desigualdades notorias, dando lugar a numerosos desvíos, no soslayado por la Corte (falta o precariedad en el acceso al agua potable y al saneamiento; inseguridad alimentaria; contaminación ambiental; falta de viviendas o de hábitat adecuado; altas tasas de informalidad laboral y de trabajo; ingresos precarios; discriminación estructural en contra de grupos en situación vulnerable; entre otras). Agregase a ello, las reacciones sociales (huelga, protestas sociales callejeras, alteración del orden ciudadano, migraciones, etc.); y el consecuente accionar del Estado (en modo pacífico, limita las protestas, realiza acciones preventivas, disuasivas, etc.; o no pacífico, hace uso desproporcionado de la fuerza, con las secuelas humanas que resultan)</w:t>
      </w:r>
    </w:p>
    <w:p w14:paraId="2B5D7B1B"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En lo económico, las Américas presentan una desigualdad notoria de capacidad productiva, que también se advierte en la cultura, profundizando aún más esas desigualdades.</w:t>
      </w:r>
    </w:p>
    <w:p w14:paraId="3C487FBE"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Por consecuencia, bien reconoce la Corte, que los Estados de este continente enfrentan uno de los desafíos más importante de la historia. De allí la necesidad y motivo de este pronunciamiento. El argumento es, que las medidas que se toman requieren mantener un delicado equilibrio entre los efectos restrictivos y la inalterabilidad de los derechos de las personas.</w:t>
      </w:r>
    </w:p>
    <w:p w14:paraId="44597A0F"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Las medidas restrictivas dictadas por los Estados Partes, más allá de cual fuera la denominación asignada</w:t>
      </w:r>
      <w:r>
        <w:rPr>
          <w:rStyle w:val="Refdenotaalpie"/>
          <w:rFonts w:ascii="Century Schoolbook" w:hAnsi="Century Schoolbook"/>
          <w:sz w:val="24"/>
          <w:szCs w:val="24"/>
        </w:rPr>
        <w:footnoteReference w:id="1"/>
      </w:r>
      <w:r>
        <w:rPr>
          <w:rFonts w:ascii="Century Schoolbook" w:hAnsi="Century Schoolbook"/>
          <w:sz w:val="24"/>
          <w:szCs w:val="24"/>
        </w:rPr>
        <w:t>, significa, necesariamente, como lo reconoce la Corte, y lo han dicho distintos gobernantes, “suspensión y restricción de algunos derechos</w:t>
      </w:r>
      <w:r>
        <w:rPr>
          <w:rStyle w:val="Refdenotaalpie"/>
          <w:rFonts w:ascii="Century Schoolbook" w:hAnsi="Century Schoolbook"/>
          <w:sz w:val="24"/>
          <w:szCs w:val="24"/>
        </w:rPr>
        <w:footnoteReference w:id="2"/>
      </w:r>
      <w:r>
        <w:rPr>
          <w:rFonts w:ascii="Century Schoolbook" w:hAnsi="Century Schoolbook"/>
          <w:sz w:val="24"/>
          <w:szCs w:val="24"/>
        </w:rPr>
        <w:t>”.</w:t>
      </w:r>
    </w:p>
    <w:p w14:paraId="37AC69B7"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Sin embargo, la cuestión, no versa, solo en el cuidado de la persona, de sus derechos, en lo social, sino el debate es mucho más profundo, y no es casual las distintas estrategias, y los diferentes resultados que se proyectan.</w:t>
      </w:r>
    </w:p>
    <w:p w14:paraId="6C606A45"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Así, mientras países como Argentina, El Salvador, muestran un desarrollo de la pandemia exiguo, también se advierten fuertes medidas preventivas y restrictivas. En contra posición, otros países, donde las medidas fueron inicialmente laxas, presentan un desarrollo expansivo de la enfermedad. Ejemplo: Estados Unidos, Brasil, España, Italia.</w:t>
      </w:r>
    </w:p>
    <w:p w14:paraId="49D9BC45"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lastRenderedPageBreak/>
        <w:t xml:space="preserve">En esta disparidad de las acciones estatales se advierte subyacente el gran debate, entre un programa protector de la salud, que pone énfasis en la persona humana, versus un programa protector de la economía, donde la vida humana queda supeditada al desarrollo de la enfermedad. En verdad, ambas materias deben conjugarse, hay interdependencia, no oposición como suele decirse. </w:t>
      </w:r>
    </w:p>
    <w:p w14:paraId="41188FCA"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En suma, podría decirse que se está ante el gran dilema de la humanidad: </w:t>
      </w:r>
      <w:r>
        <w:rPr>
          <w:rFonts w:ascii="Century Schoolbook" w:hAnsi="Century Schoolbook"/>
          <w:i/>
          <w:sz w:val="24"/>
          <w:szCs w:val="24"/>
        </w:rPr>
        <w:t>la vida digna de la persona humana vs la concepción economista.</w:t>
      </w:r>
      <w:r>
        <w:rPr>
          <w:rFonts w:ascii="Century Schoolbook" w:hAnsi="Century Schoolbook"/>
          <w:sz w:val="24"/>
          <w:szCs w:val="24"/>
        </w:rPr>
        <w:t xml:space="preserve"> Dilema, donde, se requiere privilegiar la valía de la persona humana, por sobre la economía, porque esta es medio, aquella es fin.</w:t>
      </w:r>
    </w:p>
    <w:p w14:paraId="6651015C"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En los considerandos, la Corte menciona derechos afectados, entre los que se encuentran; al trabajo, a la seguridad social, a la educación, a la alimentación, al agua, a la vivienda, entre otros. Para luego destacar que “…los Estados tienen la obligación reforzada de respetar y garantizar los derechos humanos en el marco de actividades empresarias…”</w:t>
      </w:r>
      <w:r>
        <w:rPr>
          <w:rStyle w:val="Refdenotaalpie"/>
          <w:rFonts w:ascii="Century Schoolbook" w:hAnsi="Century Schoolbook"/>
          <w:sz w:val="24"/>
          <w:szCs w:val="24"/>
        </w:rPr>
        <w:footnoteReference w:id="3"/>
      </w:r>
    </w:p>
    <w:p w14:paraId="4CAE237A"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 Esta apreciación se encadena con uno los pilares del Estado de Derecho, “el desarrollo sostenible”, citado precedentemente</w:t>
      </w:r>
    </w:p>
    <w:p w14:paraId="4F93DF3A"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Por otra parte, estos flagelos de la humanidad, importan para los Estados esfuerzo económico. En consecuencia, se comienza a transitar por la dicotomía de preservar la salud de las personas, como componente esencial del máximo valor humano: la vida digna; pero a la vez, mantener viva la economía, para obtener los recursos necesarios, que hagan pleno y efectivo los derechos alterados por la pandemia</w:t>
      </w:r>
      <w:r>
        <w:rPr>
          <w:rStyle w:val="Refdenotaalpie"/>
          <w:rFonts w:ascii="Century Schoolbook" w:hAnsi="Century Schoolbook"/>
          <w:sz w:val="24"/>
          <w:szCs w:val="24"/>
        </w:rPr>
        <w:footnoteReference w:id="4"/>
      </w:r>
      <w:r>
        <w:rPr>
          <w:rFonts w:ascii="Century Schoolbook" w:hAnsi="Century Schoolbook"/>
          <w:sz w:val="24"/>
          <w:szCs w:val="24"/>
        </w:rPr>
        <w:t>.</w:t>
      </w:r>
    </w:p>
    <w:p w14:paraId="76E7A117"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Estas apreciaciones indican, que la política a seguir por el Estado debe contemplar una gama inusual de cuestiones, lo cual lleva a caracterizarla como integral, por incursionar en todos los ámbitos del quehacer humano. NO hay excepciones, ni de edad, ni de sexo, ni de capacidad económica, ni de clase social, ni de tiempo. Hay una igualación en la dificultad. Estas aristas, demuestran que es una política omnicomprensiva de la sociedad toda. En consecuencia, la razonabilidad se torna en el principio esencial. Este significará resolver el presente, el hostigamiento viral, preservando la salud de la población, pero a la vez debe construirse el nuevo futuro. </w:t>
      </w:r>
    </w:p>
    <w:p w14:paraId="2F1BD436"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Agregase, como bien lo menciona la Corte, el derecho a la alimentación es básico, y al contar una América con grandes desigualdades y precariedades, se requieren políticas asistenciales. Estas asistencias deben equilibrar los esfuerzos, garantizando apoyo necesario y suficiente, entre quienes están agobiado por la vulnerabilidad de sus trabajos (informales, precarios, personales, cuenta propia, etc.), pero también, ese apoyo lo demandan las empresas pequeñas y medianas, que por los designios de la política sanitaria deben suspender su actividad.</w:t>
      </w:r>
    </w:p>
    <w:p w14:paraId="59A8E1F9"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Ante esto, al Estado le surge el segundo desafío, mantener vivo esos emprendimientos, so pena, que su destrucción, augurará una crisis futura.</w:t>
      </w:r>
    </w:p>
    <w:p w14:paraId="3EF1FCCD"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Por ello, las normativas que se dicten en el cumplimiento de esa Política Integral de Estado, requiere compartir esfuerzo; distribuir </w:t>
      </w:r>
      <w:r>
        <w:rPr>
          <w:rFonts w:ascii="Century Schoolbook" w:hAnsi="Century Schoolbook"/>
          <w:sz w:val="24"/>
          <w:szCs w:val="24"/>
        </w:rPr>
        <w:lastRenderedPageBreak/>
        <w:t>adecuadamente los recursos; mantener las estructuras productivas, que, no es igual a privilegiar los esquemas económicos.</w:t>
      </w:r>
    </w:p>
    <w:p w14:paraId="647C1B2A"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Estas, como otras apreciaciones, se funden en las necesidades futuras de los pueblos agobiados por el flagelo, porque, no solo hay un presente, sino, como bien lo indica la Corte, hay un futuro, el cual, en las exhortaciones cortesana está presente cuando destaca, que toda estrategia política o medida estatal dirigida a este presente debe sustentarse, disponiendo especial preeminencia de los derechos humanos. Pero, también se ocupa del </w:t>
      </w:r>
      <w:r>
        <w:rPr>
          <w:rFonts w:ascii="Century Schoolbook" w:hAnsi="Century Schoolbook"/>
          <w:i/>
          <w:sz w:val="24"/>
          <w:szCs w:val="24"/>
        </w:rPr>
        <w:t>“después”</w:t>
      </w:r>
      <w:r>
        <w:rPr>
          <w:rFonts w:ascii="Century Schoolbook" w:hAnsi="Century Schoolbook"/>
          <w:sz w:val="24"/>
          <w:szCs w:val="24"/>
        </w:rPr>
        <w:t>, es decir, las consecuencias del flagelo y la necesaria reconstrucción de los tejidos sociales. Por eso, las políticas de hoy, deben estar signada por la citada preeminencia de los derechos del hombre, y deben contemplar “…los planes para la recuperación social y económica…”</w:t>
      </w:r>
      <w:r>
        <w:rPr>
          <w:rStyle w:val="Refdenotaalpie"/>
          <w:rFonts w:ascii="Century Schoolbook" w:hAnsi="Century Schoolbook"/>
          <w:sz w:val="24"/>
          <w:szCs w:val="24"/>
        </w:rPr>
        <w:footnoteReference w:id="5"/>
      </w:r>
      <w:r>
        <w:rPr>
          <w:rFonts w:ascii="Century Schoolbook" w:hAnsi="Century Schoolbook"/>
          <w:sz w:val="24"/>
          <w:szCs w:val="24"/>
        </w:rPr>
        <w:t xml:space="preserve"> </w:t>
      </w:r>
    </w:p>
    <w:p w14:paraId="082AFA2B"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Estas acciones integrales deben contemplar a las personas en uno de los roles básicos del sostén del Estado, el contribuyente. La multiplicidad de actividades que se desarrollan en una Nación, requieren de un adecuado análisis, para sospesar cada una de las situaciones generales, y hasta incluso las particulares, que presenta el citado rol contributivo de las personas.</w:t>
      </w:r>
    </w:p>
    <w:p w14:paraId="73CC0A47"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El vínculo fisco contribuyente es otro de los desafíos estatales, porque debe compatibilizarse ingresos fiscales versus vigencia contributiva subjetiva.</w:t>
      </w:r>
    </w:p>
    <w:p w14:paraId="75B32AA5"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Aquí, el Estado enfrenta el punto más álgido de la mentada Política Integral de Estado, porque los recursos son necesarios, y más un caso, como Argentina, de economía escuálida, propia de décadas de desaguisados políticos, administrativos, económicos, y por consecuencia sociales.</w:t>
      </w:r>
    </w:p>
    <w:p w14:paraId="7577E8A9"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Sin embargo, surgen imposibilidades materiales. Más, cuando en estas circunstancias, las políticas privilegian la salud, como ha ocurrido en Argentina, donde restricciones de circulación y cierres obligados, evitando aglomeraciones humanas, provocan imposibilidad en la obtención de ingresos por parte de los contribuyentes; pero, no obstante, deben contemplar egresos, por caso, los salarios, porque no abonar sueldos provoca la inanición del asalariado y su familia.</w:t>
      </w:r>
    </w:p>
    <w:p w14:paraId="14258AD1"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En consecuencia, surgen distintas situaciones que deben contemplarse, entre otras, las obligaciones vencidas, las obligaciones futuras inmediatas, los intereses, las políticas de ejecuciones fiscales, los procesos fiscales, entre otras.</w:t>
      </w:r>
    </w:p>
    <w:p w14:paraId="7F4B2B4B"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Las alternativas tributarias son numerosas, por consiguiente, el trato a dispensar debe basarse en el principio de la razonabilidad, tratando de lograr equilibrio y equidad en el trato.</w:t>
      </w:r>
    </w:p>
    <w:p w14:paraId="01C8E55E"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Entre las manifestaciones de la Corte, se hace mención a la </w:t>
      </w:r>
      <w:r>
        <w:rPr>
          <w:rFonts w:ascii="Century Schoolbook" w:hAnsi="Century Schoolbook"/>
          <w:i/>
          <w:sz w:val="24"/>
          <w:szCs w:val="24"/>
        </w:rPr>
        <w:t>desproporción de los efectos</w:t>
      </w:r>
      <w:r>
        <w:rPr>
          <w:rFonts w:ascii="Century Schoolbook" w:hAnsi="Century Schoolbook"/>
          <w:sz w:val="24"/>
          <w:szCs w:val="24"/>
        </w:rPr>
        <w:t>, y dice “mediante la restricción o limitaciones a los derechos se pueden generar impactos en el goce de otros derechos de manera desproporcionada en determinados grupos…” y agrega “…se hace necesaria la adopción de medidas positivas de protección adicionales para estos grupos…”</w:t>
      </w:r>
      <w:r>
        <w:rPr>
          <w:rStyle w:val="Refdenotaalpie"/>
          <w:rFonts w:ascii="Century Schoolbook" w:hAnsi="Century Schoolbook"/>
          <w:sz w:val="24"/>
          <w:szCs w:val="24"/>
        </w:rPr>
        <w:footnoteReference w:id="6"/>
      </w:r>
      <w:r>
        <w:rPr>
          <w:rFonts w:ascii="Century Schoolbook" w:hAnsi="Century Schoolbook"/>
          <w:sz w:val="24"/>
          <w:szCs w:val="24"/>
        </w:rPr>
        <w:t xml:space="preserve">, se aclara que el destino de esta frase, si bien refiere a la </w:t>
      </w:r>
      <w:r>
        <w:rPr>
          <w:rFonts w:ascii="Century Schoolbook" w:hAnsi="Century Schoolbook"/>
          <w:sz w:val="24"/>
          <w:szCs w:val="24"/>
        </w:rPr>
        <w:lastRenderedPageBreak/>
        <w:t>actividad periodística es extensible a los contribuyentes por las razones de imposibilidad mencionada.</w:t>
      </w:r>
    </w:p>
    <w:p w14:paraId="13140A36"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La </w:t>
      </w:r>
      <w:r>
        <w:rPr>
          <w:rFonts w:ascii="Century Schoolbook" w:hAnsi="Century Schoolbook"/>
          <w:i/>
          <w:sz w:val="24"/>
          <w:szCs w:val="24"/>
        </w:rPr>
        <w:t>buena fe</w:t>
      </w:r>
      <w:r>
        <w:rPr>
          <w:rFonts w:ascii="Century Schoolbook" w:hAnsi="Century Schoolbook"/>
          <w:sz w:val="24"/>
          <w:szCs w:val="24"/>
        </w:rPr>
        <w:t xml:space="preserve"> es motivo de mención, y en este sentido expresa “Los compromisos internacionales en materia de derechos humanos deben cumplirse de buena fe y tomando en cuenta los estándares interamericanos y las normas de derecho internacional aplicables” (Recomendación 3.a.)</w:t>
      </w:r>
    </w:p>
    <w:p w14:paraId="02D882E7"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Esta pauta indica, en conjunto con las normas</w:t>
      </w:r>
      <w:r>
        <w:rPr>
          <w:rStyle w:val="Refdenotaalpie"/>
          <w:rFonts w:ascii="Century Schoolbook" w:hAnsi="Century Schoolbook"/>
          <w:sz w:val="24"/>
          <w:szCs w:val="24"/>
        </w:rPr>
        <w:footnoteReference w:id="7"/>
      </w:r>
      <w:r>
        <w:rPr>
          <w:rFonts w:ascii="Century Schoolbook" w:hAnsi="Century Schoolbook"/>
          <w:sz w:val="24"/>
          <w:szCs w:val="24"/>
        </w:rPr>
        <w:t xml:space="preserve"> fundantes citadas en las recomendaciones,  y el artículo 29</w:t>
      </w:r>
      <w:r>
        <w:rPr>
          <w:rStyle w:val="Refdenotaalpie"/>
          <w:rFonts w:ascii="Century Schoolbook" w:hAnsi="Century Schoolbook"/>
          <w:sz w:val="24"/>
          <w:szCs w:val="24"/>
        </w:rPr>
        <w:footnoteReference w:id="8"/>
      </w:r>
      <w:r>
        <w:rPr>
          <w:rFonts w:ascii="Century Schoolbook" w:hAnsi="Century Schoolbook"/>
          <w:sz w:val="24"/>
          <w:szCs w:val="24"/>
        </w:rPr>
        <w:t xml:space="preserve"> de la Convención Interamericana de Derechos Humanos, que sostiene el privilegio de los derechos de las personas, no pudiendo el accionar estatal alterarlo de ninguna manera.</w:t>
      </w:r>
    </w:p>
    <w:p w14:paraId="472294C2"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A ello, cabe agregar disposiciones</w:t>
      </w:r>
      <w:r>
        <w:rPr>
          <w:rStyle w:val="Refdenotaalpie"/>
          <w:rFonts w:ascii="Century Schoolbook" w:hAnsi="Century Schoolbook"/>
          <w:sz w:val="24"/>
          <w:szCs w:val="24"/>
        </w:rPr>
        <w:footnoteReference w:id="9"/>
      </w:r>
      <w:r>
        <w:rPr>
          <w:rFonts w:ascii="Century Schoolbook" w:hAnsi="Century Schoolbook"/>
          <w:sz w:val="24"/>
          <w:szCs w:val="24"/>
        </w:rPr>
        <w:t xml:space="preserve"> nacionales, que requieren, para que medie la aplicación de intereses, la culpabilidad por mora, aspecto que no ocurre, por las consecuencias restrictivas de la Política Sanitaria que significa, imposibilidad de ejercer la actividad, por ende obtener ingresos.</w:t>
      </w:r>
    </w:p>
    <w:p w14:paraId="14B1C334"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Merece citarse la recomendación 3.b. de la Corte, que esclarece el comportamiento a seguir por el Estado </w:t>
      </w:r>
      <w:r>
        <w:rPr>
          <w:rFonts w:ascii="Century Schoolbook" w:hAnsi="Century Schoolbook"/>
          <w:i/>
          <w:sz w:val="24"/>
          <w:szCs w:val="24"/>
        </w:rPr>
        <w:t>“El deber de garantía de los derechos humanos requiere que los Estados protejan los derechos humanos atendiendo a las particulares necesidades de protección de las personas y que esta obligación involucra el deber de los Estados de organizar todo el aparato gubernamental y, en general, todas las estructuras a través de las cuales se manifiesta el ejercicio del poder público, de manera tal que sean capaces de asegurar jurídicamente el libre y pleno ejercicio de los derechos humanos”</w:t>
      </w:r>
      <w:r>
        <w:rPr>
          <w:rFonts w:ascii="Century Schoolbook" w:hAnsi="Century Schoolbook"/>
          <w:sz w:val="24"/>
          <w:szCs w:val="24"/>
        </w:rPr>
        <w:t>.</w:t>
      </w:r>
    </w:p>
    <w:p w14:paraId="029A5B84"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Al que cabe agregar la recomendación 3.c. de la Resolución 1/20 que reza “</w:t>
      </w:r>
      <w:r>
        <w:rPr>
          <w:rFonts w:ascii="Century Schoolbook" w:hAnsi="Century Schoolbook"/>
          <w:i/>
          <w:sz w:val="24"/>
          <w:szCs w:val="24"/>
        </w:rPr>
        <w:t>El deber de respetar los derechos humanos comprende la noción de la restricción al ejercicio del poder estatal, es decir, requiere que cualquier órgano o funcionario del Estado o de una institución de carácter público se abstenga de violar los derechos humanos”.</w:t>
      </w:r>
      <w:r>
        <w:rPr>
          <w:rFonts w:ascii="Century Schoolbook" w:hAnsi="Century Schoolbook"/>
          <w:sz w:val="24"/>
          <w:szCs w:val="24"/>
        </w:rPr>
        <w:t xml:space="preserve"> Expresión que es conteste con el citado artículo 29 del Pacto de San José de Costa Rica.</w:t>
      </w:r>
    </w:p>
    <w:p w14:paraId="76B57E36"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Por otra parte, y en lo que, a medidas a tomar se refiere por los Estados Partes, la Corte, en su Recomendación 3.g., expresó, que las normas deben atenerse a ciertos requisitos cuando media suspensión de derechos </w:t>
      </w:r>
      <w:r>
        <w:rPr>
          <w:rFonts w:ascii="Century Schoolbook" w:hAnsi="Century Schoolbook"/>
          <w:i/>
          <w:sz w:val="24"/>
          <w:szCs w:val="24"/>
        </w:rPr>
        <w:t>“…legalidad, necesidad, proporcionalidad, temporalidad…”</w:t>
      </w:r>
      <w:r>
        <w:rPr>
          <w:rFonts w:ascii="Century Schoolbook" w:hAnsi="Century Schoolbook"/>
          <w:sz w:val="24"/>
          <w:szCs w:val="24"/>
        </w:rPr>
        <w:t xml:space="preserve">, esta </w:t>
      </w:r>
      <w:r>
        <w:rPr>
          <w:rFonts w:ascii="Century Schoolbook" w:hAnsi="Century Schoolbook"/>
          <w:sz w:val="24"/>
          <w:szCs w:val="24"/>
        </w:rPr>
        <w:lastRenderedPageBreak/>
        <w:t xml:space="preserve">apreciación la funda, en que debe evitarse por el Estado la utilización </w:t>
      </w:r>
      <w:r>
        <w:rPr>
          <w:rFonts w:ascii="Century Schoolbook" w:hAnsi="Century Schoolbook"/>
          <w:i/>
          <w:sz w:val="24"/>
          <w:szCs w:val="24"/>
        </w:rPr>
        <w:t>“…ilegal, abusiva y desproporcionada, ocasionando violaciones de a derechos humanos o afectaciones del sistema democrático de gobierno”</w:t>
      </w:r>
      <w:r>
        <w:rPr>
          <w:rFonts w:ascii="Century Schoolbook" w:hAnsi="Century Schoolbook"/>
          <w:sz w:val="24"/>
          <w:szCs w:val="24"/>
        </w:rPr>
        <w:t xml:space="preserve">   </w:t>
      </w:r>
    </w:p>
    <w:p w14:paraId="2BB7E4B8"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Cabe preguntarse entonces </w:t>
      </w:r>
      <w:r>
        <w:rPr>
          <w:rFonts w:ascii="Century Schoolbook" w:hAnsi="Century Schoolbook"/>
          <w:b/>
          <w:sz w:val="24"/>
          <w:szCs w:val="24"/>
        </w:rPr>
        <w:t>¿Cómo puede un contribuyente ejercer libre pleno y efectivo sus derechos si se lo obliga a cumplir sus obligaciones cuando le han detraído los medios?</w:t>
      </w:r>
    </w:p>
    <w:p w14:paraId="48CE1E11"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La repuesta lleva a expresar las siguientes conclusiones. Se afecta al contribuyente al condenarlo a pagar obligaciones al Estado, cuando este le privó de los medios para su cumplimiento. Esta situación deviene en una exacción, que, de prosperar, seguramente significará un daño y perjuicio irreparable.</w:t>
      </w:r>
    </w:p>
    <w:p w14:paraId="266446FF"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Ese accionar del Estado pone en riesgo, por la masividad de los contribuyentes afectados, al propio sistema democrático, al eliminar fuentes genuinas de aporte a la hacienda pública.</w:t>
      </w:r>
    </w:p>
    <w:p w14:paraId="70046FCA"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Estas restricciones contrarían disposiciones nacionales, que la Corte las considera relevantes, más cuando importa protección, en este caso es el interés resarcitorio, por el incumplimiento imposible, propio de la fuerza mayor.</w:t>
      </w:r>
    </w:p>
    <w:p w14:paraId="75417956"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Requiere arbitrar por el Estado medidas de reprogramación de obligaciones, posponiendo los vencimientos, que podrán ser sucesivamente reprogramado de acuerdo a la evolución de la pandemia.</w:t>
      </w:r>
    </w:p>
    <w:p w14:paraId="6BD8DA3E"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Estas medidas de cuidado del contribuyente, requieren suspender el inicio de las acciones judiciales, se evita encarecer las obligaciones, al sumársele las costas y honorarios, más cuando se aprecian prácticas fiscales inadecuadas en esta materia. La suspensión debe extenderse a las ejecuciones en curso, porque en este caso, si bien, se dispone desde el Poder Judicial ferias especiales, no es menos cierto, que el levantamiento de esas restricciones jurisdiccionales, se hará en un plazo incompatible con la recuperación económica de un contribuyente para poder abonar el resultado de las ejecuciones.</w:t>
      </w:r>
    </w:p>
    <w:p w14:paraId="79395C0E"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En cuanto a las situaciones pretéritas reconocidas por la ley 27541, debería reformularse el esquema legal sancionado, contemplando el flagelo COVID 19 y la Política de Estado Integral.</w:t>
      </w:r>
    </w:p>
    <w:p w14:paraId="288D75B4"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El mundo, la Argentina, está ante un fenómeno desconocido en la historia de la humanidad, no tanto, por la dimensión que hasta ahora ha alcanzado, (hubo episodios similares más trágico), sino por la universalidad de su influencia. </w:t>
      </w:r>
    </w:p>
    <w:p w14:paraId="55E95487" w14:textId="77777777" w:rsidR="00F07F20" w:rsidRDefault="00F07F20" w:rsidP="00F07F20">
      <w:pPr>
        <w:ind w:firstLine="708"/>
        <w:jc w:val="both"/>
        <w:rPr>
          <w:rFonts w:ascii="Century Schoolbook" w:hAnsi="Century Schoolbook"/>
          <w:sz w:val="24"/>
          <w:szCs w:val="24"/>
        </w:rPr>
      </w:pPr>
      <w:r>
        <w:rPr>
          <w:rFonts w:ascii="Century Schoolbook" w:hAnsi="Century Schoolbook"/>
          <w:sz w:val="24"/>
          <w:szCs w:val="24"/>
        </w:rPr>
        <w:t xml:space="preserve">El contenido introductorio, los considerandos y las recomendaciones de esta Resolución 1/20 de la Corte Interamericana de Derechos Humanos son un aporte importante para sustentar, fundadamente, una normativa adecuada; el carácter extraordinario de esta situación requiere especial consideración; La necesidad de mantener el equilibrio entre salud y economía, permitiendo fomentar las bases para el día después; son todos argumentos que llevan a replantear, por lo menos en lo fiscal, integrar disposiciones en el marco de la Política Integral de Estado mentada, de manera, que ocupándose del presente, se vislumbre el futuro; pero fundamentalmente dotar de seguridad jurídica la relación tributaria Fisco – </w:t>
      </w:r>
      <w:r>
        <w:rPr>
          <w:rFonts w:ascii="Century Schoolbook" w:hAnsi="Century Schoolbook"/>
          <w:sz w:val="24"/>
          <w:szCs w:val="24"/>
        </w:rPr>
        <w:lastRenderedPageBreak/>
        <w:t>Contribuyente. La razón, después de los desastres, la vida continúa para los que sobreviven.</w:t>
      </w:r>
    </w:p>
    <w:p w14:paraId="735CAC96" w14:textId="77777777" w:rsidR="00E91A57" w:rsidRPr="00F07F20" w:rsidRDefault="00E91A57" w:rsidP="00F07F20"/>
    <w:sectPr w:rsidR="00E91A57" w:rsidRPr="00F07F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A024" w14:textId="77777777" w:rsidR="000A1923" w:rsidRDefault="000A1923" w:rsidP="007C0405">
      <w:r>
        <w:separator/>
      </w:r>
    </w:p>
  </w:endnote>
  <w:endnote w:type="continuationSeparator" w:id="0">
    <w:p w14:paraId="67F9AE86" w14:textId="77777777" w:rsidR="000A1923" w:rsidRDefault="000A1923" w:rsidP="007C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Garamond-Ital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NNBNC+Verdana">
    <w:altName w:val="Verdana"/>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Calluna">
    <w:altName w:val="Callun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8570" w14:textId="77777777" w:rsidR="000A1923" w:rsidRDefault="000A1923" w:rsidP="007C0405">
      <w:r>
        <w:separator/>
      </w:r>
    </w:p>
  </w:footnote>
  <w:footnote w:type="continuationSeparator" w:id="0">
    <w:p w14:paraId="1CE0A794" w14:textId="77777777" w:rsidR="000A1923" w:rsidRDefault="000A1923" w:rsidP="007C0405">
      <w:r>
        <w:continuationSeparator/>
      </w:r>
    </w:p>
  </w:footnote>
  <w:footnote w:id="1">
    <w:p w14:paraId="0D701EDB" w14:textId="77777777" w:rsidR="00F07F20" w:rsidRDefault="00F07F20" w:rsidP="00F07F20">
      <w:pPr>
        <w:pStyle w:val="Textonotapie"/>
        <w:jc w:val="both"/>
        <w:rPr>
          <w:rFonts w:ascii="Century Schoolbook" w:hAnsi="Century Schoolbook"/>
        </w:rPr>
      </w:pPr>
      <w:r>
        <w:rPr>
          <w:rStyle w:val="Refdenotaalpie"/>
          <w:rFonts w:ascii="Century Schoolbook" w:hAnsi="Century Schoolbook"/>
        </w:rPr>
        <w:footnoteRef/>
      </w:r>
      <w:r>
        <w:rPr>
          <w:rFonts w:ascii="Century Schoolbook" w:hAnsi="Century Schoolbook"/>
        </w:rPr>
        <w:t xml:space="preserve"> Estado de emergencia; estado de excepción; estado de catástrofe por calamidad pública o emergencia sanitaria. </w:t>
      </w:r>
    </w:p>
  </w:footnote>
  <w:footnote w:id="2">
    <w:p w14:paraId="215C6917" w14:textId="77777777" w:rsidR="00F07F20" w:rsidRDefault="00F07F20" w:rsidP="00F07F20">
      <w:pPr>
        <w:pStyle w:val="Textonotapie"/>
        <w:jc w:val="both"/>
        <w:rPr>
          <w:rFonts w:ascii="Century Schoolbook" w:hAnsi="Century Schoolbook"/>
        </w:rPr>
      </w:pPr>
      <w:r>
        <w:rPr>
          <w:rStyle w:val="Refdenotaalpie"/>
          <w:rFonts w:ascii="Century Schoolbook" w:hAnsi="Century Schoolbook"/>
        </w:rPr>
        <w:footnoteRef/>
      </w:r>
      <w:r>
        <w:rPr>
          <w:rFonts w:ascii="Century Schoolbook" w:hAnsi="Century Schoolbook"/>
        </w:rPr>
        <w:t xml:space="preserve"> Derecho de la liberta de expresión; derecho al acceso a la información; la libertad personal; la inviolabilidad de domicilio; el derecho a la propiedad privada; derecho a adecuada educación; la preservación contra el uso de tecnología de vigilancia invasiva; derecho a reunión; derecho a circulación.</w:t>
      </w:r>
    </w:p>
  </w:footnote>
  <w:footnote w:id="3">
    <w:p w14:paraId="71384D4D" w14:textId="77777777" w:rsidR="00F07F20" w:rsidRDefault="00F07F20" w:rsidP="00F07F20">
      <w:pPr>
        <w:pStyle w:val="Textonotapie"/>
        <w:jc w:val="both"/>
        <w:rPr>
          <w:rFonts w:ascii="Century Schoolbook" w:hAnsi="Century Schoolbook"/>
        </w:rPr>
      </w:pPr>
      <w:r>
        <w:rPr>
          <w:rStyle w:val="Refdenotaalpie"/>
          <w:rFonts w:ascii="Century Schoolbook" w:hAnsi="Century Schoolbook"/>
        </w:rPr>
        <w:footnoteRef/>
      </w:r>
      <w:r>
        <w:rPr>
          <w:rFonts w:ascii="Century Schoolbook" w:hAnsi="Century Schoolbook"/>
        </w:rPr>
        <w:t xml:space="preserve"> Tercer párrafo de 1. El derecho humano a la salud y otros DESCA en el contexto de las pandemias, B Parte Considerativa, de la Resolución 1/20 de la Corte IDH. </w:t>
      </w:r>
    </w:p>
  </w:footnote>
  <w:footnote w:id="4">
    <w:p w14:paraId="17FA7AC9" w14:textId="77777777" w:rsidR="00F07F20" w:rsidRDefault="00F07F20" w:rsidP="00F07F20">
      <w:pPr>
        <w:pStyle w:val="Textonotapie"/>
        <w:jc w:val="both"/>
        <w:rPr>
          <w:rFonts w:ascii="Century Schoolbook" w:hAnsi="Century Schoolbook"/>
          <w:lang w:val="es-AR"/>
        </w:rPr>
      </w:pPr>
      <w:r>
        <w:rPr>
          <w:rStyle w:val="Refdenotaalpie"/>
          <w:rFonts w:ascii="Century Schoolbook" w:hAnsi="Century Schoolbook"/>
        </w:rPr>
        <w:footnoteRef/>
      </w:r>
      <w:r>
        <w:rPr>
          <w:rFonts w:ascii="Century Schoolbook" w:hAnsi="Century Schoolbook"/>
        </w:rPr>
        <w:t xml:space="preserve"> Ver nota 2 donde se enuncian los derechos.</w:t>
      </w:r>
    </w:p>
  </w:footnote>
  <w:footnote w:id="5">
    <w:p w14:paraId="7F453593" w14:textId="77777777" w:rsidR="00F07F20" w:rsidRDefault="00F07F20" w:rsidP="00F07F20">
      <w:pPr>
        <w:pStyle w:val="Textonotapie"/>
      </w:pPr>
      <w:r>
        <w:rPr>
          <w:rStyle w:val="Refdenotaalpie"/>
          <w:rFonts w:ascii="Century Schoolbook" w:hAnsi="Century Schoolbook"/>
        </w:rPr>
        <w:footnoteRef/>
      </w:r>
      <w:r>
        <w:rPr>
          <w:rStyle w:val="Refdenotaalpie"/>
          <w:rFonts w:ascii="Century Schoolbook" w:hAnsi="Century Schoolbook"/>
        </w:rPr>
        <w:footnoteRef/>
      </w:r>
      <w:r>
        <w:rPr>
          <w:rFonts w:ascii="Century Schoolbook" w:hAnsi="Century Schoolbook"/>
        </w:rPr>
        <w:t xml:space="preserve"> De la Recomendación 2, Resolución 1/20 Corte Interamericana de Derechos Humanos</w:t>
      </w:r>
      <w:r>
        <w:t xml:space="preserve">.  </w:t>
      </w:r>
    </w:p>
  </w:footnote>
  <w:footnote w:id="6">
    <w:p w14:paraId="1D255053" w14:textId="77777777" w:rsidR="00F07F20" w:rsidRDefault="00F07F20" w:rsidP="00F07F20">
      <w:pPr>
        <w:pStyle w:val="Textonotapie"/>
        <w:jc w:val="both"/>
        <w:rPr>
          <w:rFonts w:ascii="Century Schoolbook" w:hAnsi="Century Schoolbook"/>
        </w:rPr>
      </w:pPr>
      <w:r>
        <w:rPr>
          <w:rStyle w:val="Refdenotaalpie"/>
          <w:rFonts w:ascii="Century Schoolbook" w:hAnsi="Century Schoolbook"/>
        </w:rPr>
        <w:footnoteRef/>
      </w:r>
      <w:r>
        <w:rPr>
          <w:rFonts w:ascii="Century Schoolbook" w:hAnsi="Century Schoolbook"/>
        </w:rPr>
        <w:t xml:space="preserve"> Párrafo 3, punto II, Estado de excepción, libertades fundamentales y Estado de Derecho, B Parte Considerativa resolución 1/20 Corte IDH </w:t>
      </w:r>
    </w:p>
  </w:footnote>
  <w:footnote w:id="7">
    <w:p w14:paraId="3B8746CF" w14:textId="77777777" w:rsidR="00F07F20" w:rsidRDefault="00F07F20" w:rsidP="00F07F20">
      <w:pPr>
        <w:pStyle w:val="Textonotapie"/>
        <w:jc w:val="both"/>
        <w:rPr>
          <w:lang w:val="es-AR"/>
        </w:rPr>
      </w:pPr>
      <w:r>
        <w:rPr>
          <w:rStyle w:val="Refdenotaalpie"/>
          <w:rFonts w:ascii="Century Schoolbook" w:hAnsi="Century Schoolbook"/>
        </w:rPr>
        <w:footnoteRef/>
      </w:r>
      <w:r>
        <w:rPr>
          <w:rFonts w:ascii="Century Schoolbook" w:hAnsi="Century Schoolbook"/>
        </w:rPr>
        <w:t xml:space="preserve"> Artículo 106 de la Carta de Organización de los Estados Americanos y los similares contenidos de los artículos 41, inciso b, de la Convención American sobre Derechos Humanos, y el artículo 18, inciso b del Estatuto de la Comisión Interamericana sobre Derechos Humanos, que en la parte que atañe dice “…legislaciones, de sus preceptos constitucionales y de sus compromisos internacionales, y también disposiciones apropiadas para fomentar el respeto a esos derechos;”.</w:t>
      </w:r>
    </w:p>
  </w:footnote>
  <w:footnote w:id="8">
    <w:p w14:paraId="4FB4580D" w14:textId="77777777" w:rsidR="00F07F20" w:rsidRDefault="00F07F20" w:rsidP="00F07F20">
      <w:pPr>
        <w:pStyle w:val="Textonotapie"/>
        <w:jc w:val="both"/>
        <w:rPr>
          <w:rFonts w:ascii="Century Schoolbook" w:hAnsi="Century Schoolbook"/>
        </w:rPr>
      </w:pPr>
      <w:r>
        <w:rPr>
          <w:rStyle w:val="Refdenotaalpie"/>
          <w:rFonts w:ascii="Century Schoolbook" w:hAnsi="Century Schoolbook"/>
        </w:rPr>
        <w:footnoteRef/>
      </w:r>
      <w:r>
        <w:rPr>
          <w:rFonts w:ascii="Century Schoolbook" w:hAnsi="Century Schoolbook"/>
        </w:rPr>
        <w:t xml:space="preserve"> Artículo 29 Convención Americana sobre Derechos Humanos: Ninguna disposición de la presente convención puede ser interpretada en el sentido de: a) Permitir a alguno de los Estados Partes, grupo o persona, suprimir el goce y ejercicio de los derechos y libertades reconocidos en la Convención o limitarlos en mayor medida que la prevista en ella; b) Limitar el goce y ejercicio de cualquier derecho o libertad que pueda estar reconocido de acuerdo con las leyes de cualquiera de los Estados Partes o de acuerdo con otra convención en que sea parte uno de dichos Estados; c) Excluir otros derechos y garantías que son inherentes al ser humano o que se derivan de la forma democrática representativa de gobierno, y d. excluir o limitar el efecto que puedan producir la Declaración Americana de Derechos y Deberes del Hombre y otros actos internacionales de la misma naturaleza.</w:t>
      </w:r>
    </w:p>
  </w:footnote>
  <w:footnote w:id="9">
    <w:p w14:paraId="54A2D74B" w14:textId="77777777" w:rsidR="00F07F20" w:rsidRDefault="00F07F20" w:rsidP="00F07F20">
      <w:pPr>
        <w:pStyle w:val="Textonotapie"/>
        <w:jc w:val="both"/>
        <w:rPr>
          <w:rFonts w:ascii="Century Schoolbook" w:hAnsi="Century Schoolbook"/>
        </w:rPr>
      </w:pPr>
      <w:r>
        <w:rPr>
          <w:rStyle w:val="Refdenotaalpie"/>
          <w:rFonts w:ascii="Century Schoolbook" w:hAnsi="Century Schoolbook"/>
        </w:rPr>
        <w:footnoteRef/>
      </w:r>
      <w:r>
        <w:rPr>
          <w:rStyle w:val="Refdenotaalpie"/>
          <w:rFonts w:ascii="Century Schoolbook" w:hAnsi="Century Schoolbook"/>
        </w:rPr>
        <w:footnoteRef/>
      </w:r>
      <w:r>
        <w:rPr>
          <w:rFonts w:ascii="Century Schoolbook" w:hAnsi="Century Schoolbook"/>
        </w:rPr>
        <w:t xml:space="preserve"> Artículos del CCCN: 888 (prueba de la inimputabilidad), 1730 (caso fortuito o fuerza mayor), 1732 (imposibilidad de cumplimiento), y 1733 (caso fortuito).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D14"/>
    <w:multiLevelType w:val="hybridMultilevel"/>
    <w:tmpl w:val="FA065D9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C145C3"/>
    <w:multiLevelType w:val="hybridMultilevel"/>
    <w:tmpl w:val="0DF8485C"/>
    <w:lvl w:ilvl="0" w:tplc="2AE29894">
      <w:start w:val="1"/>
      <w:numFmt w:val="lowerLetter"/>
      <w:lvlText w:val="%1)"/>
      <w:lvlJc w:val="left"/>
      <w:pPr>
        <w:ind w:left="720" w:hanging="360"/>
      </w:pPr>
      <w:rPr>
        <w:rFonts w:cs="AGaramond-Ital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8328A9"/>
    <w:multiLevelType w:val="multilevel"/>
    <w:tmpl w:val="1390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D5AB4"/>
    <w:multiLevelType w:val="multilevel"/>
    <w:tmpl w:val="D74C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51A73"/>
    <w:multiLevelType w:val="hybridMultilevel"/>
    <w:tmpl w:val="1DB04D32"/>
    <w:lvl w:ilvl="0" w:tplc="79D081A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2317F0"/>
    <w:multiLevelType w:val="hybridMultilevel"/>
    <w:tmpl w:val="01683E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F30338"/>
    <w:multiLevelType w:val="multilevel"/>
    <w:tmpl w:val="35B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205A"/>
    <w:multiLevelType w:val="multilevel"/>
    <w:tmpl w:val="C2B2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621E8"/>
    <w:multiLevelType w:val="multilevel"/>
    <w:tmpl w:val="D5E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72D51"/>
    <w:multiLevelType w:val="multilevel"/>
    <w:tmpl w:val="65F4B6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69C58E2"/>
    <w:multiLevelType w:val="hybridMultilevel"/>
    <w:tmpl w:val="A2AADC20"/>
    <w:lvl w:ilvl="0" w:tplc="C41CDE74">
      <w:start w:val="1"/>
      <w:numFmt w:val="lowerLetter"/>
      <w:lvlText w:val="%1)"/>
      <w:lvlJc w:val="left"/>
      <w:pPr>
        <w:ind w:left="720" w:hanging="360"/>
      </w:pPr>
      <w:rPr>
        <w:rFonts w:cs="AGaramond-Ital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D876C1"/>
    <w:multiLevelType w:val="hybridMultilevel"/>
    <w:tmpl w:val="FAA8BF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BF42A7"/>
    <w:multiLevelType w:val="multilevel"/>
    <w:tmpl w:val="88EA05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5B691EAE"/>
    <w:multiLevelType w:val="hybridMultilevel"/>
    <w:tmpl w:val="53B815F4"/>
    <w:lvl w:ilvl="0" w:tplc="3404050E">
      <w:start w:val="1"/>
      <w:numFmt w:val="lowerLetter"/>
      <w:lvlText w:val="%1)"/>
      <w:lvlJc w:val="left"/>
      <w:pPr>
        <w:ind w:left="720" w:hanging="360"/>
      </w:pPr>
      <w:rPr>
        <w:rFonts w:cs="AGaramond-Itali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CC705B"/>
    <w:multiLevelType w:val="multilevel"/>
    <w:tmpl w:val="30E051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4834888"/>
    <w:multiLevelType w:val="hybridMultilevel"/>
    <w:tmpl w:val="9B64F8CA"/>
    <w:lvl w:ilvl="0" w:tplc="1248D746">
      <w:start w:val="1"/>
      <w:numFmt w:val="decimal"/>
      <w:lvlText w:val="%1)"/>
      <w:lvlJc w:val="left"/>
      <w:pPr>
        <w:ind w:left="720" w:hanging="360"/>
      </w:pPr>
      <w:rPr>
        <w:rFonts w:ascii="Century Schoolbook" w:eastAsiaTheme="minorHAnsi" w:hAnsi="Century Schoolbook"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525A1A"/>
    <w:multiLevelType w:val="hybridMultilevel"/>
    <w:tmpl w:val="EC2CDF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FE90883"/>
    <w:multiLevelType w:val="multilevel"/>
    <w:tmpl w:val="5C906E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70DA31C9"/>
    <w:multiLevelType w:val="multilevel"/>
    <w:tmpl w:val="3DC045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DB71AA9"/>
    <w:multiLevelType w:val="hybridMultilevel"/>
    <w:tmpl w:val="99F4A6DC"/>
    <w:lvl w:ilvl="0" w:tplc="C5BEA0F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7E2E069E"/>
    <w:multiLevelType w:val="hybridMultilevel"/>
    <w:tmpl w:val="5C301B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2"/>
  </w:num>
  <w:num w:numId="5">
    <w:abstractNumId w:val="7"/>
  </w:num>
  <w:num w:numId="6">
    <w:abstractNumId w:val="6"/>
  </w:num>
  <w:num w:numId="7">
    <w:abstractNumId w:val="8"/>
  </w:num>
  <w:num w:numId="8">
    <w:abstractNumId w:val="3"/>
  </w:num>
  <w:num w:numId="9">
    <w:abstractNumId w:val="18"/>
  </w:num>
  <w:num w:numId="10">
    <w:abstractNumId w:val="9"/>
    <w:lvlOverride w:ilvl="0">
      <w:startOverride w:val="2"/>
    </w:lvlOverride>
  </w:num>
  <w:num w:numId="11">
    <w:abstractNumId w:val="12"/>
    <w:lvlOverride w:ilvl="0">
      <w:startOverride w:val="3"/>
    </w:lvlOverride>
  </w:num>
  <w:num w:numId="12">
    <w:abstractNumId w:val="17"/>
    <w:lvlOverride w:ilvl="0">
      <w:startOverride w:val="4"/>
    </w:lvlOverride>
  </w:num>
  <w:num w:numId="13">
    <w:abstractNumId w:val="14"/>
    <w:lvlOverride w:ilvl="0">
      <w:startOverride w:val="5"/>
    </w:lvlOverride>
  </w:num>
  <w:num w:numId="14">
    <w:abstractNumId w:val="15"/>
  </w:num>
  <w:num w:numId="15">
    <w:abstractNumId w:val="16"/>
  </w:num>
  <w:num w:numId="16">
    <w:abstractNumId w:val="1"/>
  </w:num>
  <w:num w:numId="17">
    <w:abstractNumId w:val="11"/>
  </w:num>
  <w:num w:numId="18">
    <w:abstractNumId w:val="13"/>
  </w:num>
  <w:num w:numId="19">
    <w:abstractNumId w:val="0"/>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55"/>
    <w:rsid w:val="000A1923"/>
    <w:rsid w:val="003A1655"/>
    <w:rsid w:val="003E3775"/>
    <w:rsid w:val="004140C0"/>
    <w:rsid w:val="00457E8E"/>
    <w:rsid w:val="00521DFA"/>
    <w:rsid w:val="007C0405"/>
    <w:rsid w:val="00DA733D"/>
    <w:rsid w:val="00E91A57"/>
    <w:rsid w:val="00F07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51B"/>
  <w15:docId w15:val="{F242B5DA-3F9B-4B0F-8D34-0E30D65A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8E"/>
    <w:pPr>
      <w:spacing w:after="0" w:line="240" w:lineRule="auto"/>
    </w:pPr>
    <w:rPr>
      <w:rFonts w:ascii="Times New Roman" w:eastAsia="Times New Roman" w:hAnsi="Times New Roman" w:cs="Times New Roman"/>
      <w:sz w:val="20"/>
      <w:szCs w:val="20"/>
      <w:lang w:val="es-AR" w:eastAsia="es-ES"/>
    </w:rPr>
  </w:style>
  <w:style w:type="paragraph" w:styleId="Ttulo1">
    <w:name w:val="heading 1"/>
    <w:basedOn w:val="Normal"/>
    <w:next w:val="Normal"/>
    <w:link w:val="Ttulo1Car"/>
    <w:uiPriority w:val="9"/>
    <w:qFormat/>
    <w:rsid w:val="007C0405"/>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s-ES" w:eastAsia="en-US"/>
    </w:rPr>
  </w:style>
  <w:style w:type="paragraph" w:styleId="Ttulo2">
    <w:name w:val="heading 2"/>
    <w:basedOn w:val="Normal"/>
    <w:next w:val="Normal"/>
    <w:link w:val="Ttulo2Car"/>
    <w:uiPriority w:val="9"/>
    <w:unhideWhenUsed/>
    <w:qFormat/>
    <w:rsid w:val="007C0405"/>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ES" w:eastAsia="en-US"/>
    </w:rPr>
  </w:style>
  <w:style w:type="paragraph" w:styleId="Ttulo3">
    <w:name w:val="heading 3"/>
    <w:basedOn w:val="Normal"/>
    <w:next w:val="Normal"/>
    <w:link w:val="Ttulo3Car"/>
    <w:uiPriority w:val="9"/>
    <w:unhideWhenUsed/>
    <w:qFormat/>
    <w:rsid w:val="007C0405"/>
    <w:pPr>
      <w:keepNext/>
      <w:keepLines/>
      <w:spacing w:before="40" w:line="276" w:lineRule="auto"/>
      <w:outlineLvl w:val="2"/>
    </w:pPr>
    <w:rPr>
      <w:rFonts w:asciiTheme="majorHAnsi" w:eastAsiaTheme="majorEastAsia" w:hAnsiTheme="majorHAnsi" w:cstheme="majorBidi"/>
      <w:color w:val="1F4D78" w:themeColor="accent1" w:themeShade="7F"/>
      <w:sz w:val="24"/>
      <w:szCs w:val="24"/>
      <w:lang w:val="es-ES" w:eastAsia="en-US"/>
    </w:rPr>
  </w:style>
  <w:style w:type="paragraph" w:styleId="Ttulo4">
    <w:name w:val="heading 4"/>
    <w:basedOn w:val="Normal"/>
    <w:next w:val="Normal"/>
    <w:link w:val="Ttulo4Car"/>
    <w:uiPriority w:val="9"/>
    <w:unhideWhenUsed/>
    <w:qFormat/>
    <w:rsid w:val="007C0405"/>
    <w:pPr>
      <w:keepNext/>
      <w:keepLines/>
      <w:spacing w:before="40" w:line="254"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link w:val="Ttulo5Car"/>
    <w:uiPriority w:val="9"/>
    <w:qFormat/>
    <w:rsid w:val="007C0405"/>
    <w:pPr>
      <w:spacing w:before="100" w:beforeAutospacing="1" w:after="100" w:afterAutospacing="1"/>
      <w:outlineLvl w:val="4"/>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457E8E"/>
    <w:pPr>
      <w:jc w:val="center"/>
    </w:pPr>
    <w:rPr>
      <w:b/>
      <w:sz w:val="24"/>
      <w:u w:val="single"/>
      <w:lang w:val="x-none"/>
    </w:rPr>
  </w:style>
  <w:style w:type="character" w:customStyle="1" w:styleId="TtuloCar">
    <w:name w:val="Título Car"/>
    <w:basedOn w:val="Fuentedeprrafopredeter"/>
    <w:link w:val="Ttulo"/>
    <w:uiPriority w:val="99"/>
    <w:rsid w:val="00457E8E"/>
    <w:rPr>
      <w:rFonts w:ascii="Times New Roman" w:eastAsia="Times New Roman" w:hAnsi="Times New Roman" w:cs="Times New Roman"/>
      <w:b/>
      <w:sz w:val="24"/>
      <w:szCs w:val="20"/>
      <w:u w:val="single"/>
      <w:lang w:val="x-none" w:eastAsia="es-ES"/>
    </w:rPr>
  </w:style>
  <w:style w:type="paragraph" w:styleId="Prrafodelista">
    <w:name w:val="List Paragraph"/>
    <w:basedOn w:val="Normal"/>
    <w:uiPriority w:val="34"/>
    <w:qFormat/>
    <w:rsid w:val="00457E8E"/>
    <w:pPr>
      <w:ind w:left="720"/>
      <w:contextualSpacing/>
    </w:pPr>
  </w:style>
  <w:style w:type="paragraph" w:customStyle="1" w:styleId="textocpo10-derecha-autor">
    <w:name w:val="textocpo10-derecha-autor"/>
    <w:basedOn w:val="Normal"/>
    <w:rsid w:val="00521DFA"/>
    <w:pPr>
      <w:spacing w:before="100" w:beforeAutospacing="1" w:after="100" w:afterAutospacing="1"/>
    </w:pPr>
    <w:rPr>
      <w:sz w:val="24"/>
      <w:szCs w:val="24"/>
      <w:lang w:val="es-ES"/>
    </w:rPr>
  </w:style>
  <w:style w:type="paragraph" w:styleId="NormalWeb">
    <w:name w:val="Normal (Web)"/>
    <w:basedOn w:val="Normal"/>
    <w:uiPriority w:val="99"/>
    <w:unhideWhenUsed/>
    <w:rsid w:val="00521DFA"/>
    <w:pPr>
      <w:spacing w:before="100" w:beforeAutospacing="1" w:after="100" w:afterAutospacing="1"/>
    </w:pPr>
    <w:rPr>
      <w:sz w:val="24"/>
      <w:szCs w:val="24"/>
      <w:lang w:val="es-ES"/>
    </w:rPr>
  </w:style>
  <w:style w:type="paragraph" w:customStyle="1" w:styleId="sangrianovedades">
    <w:name w:val="sangrianovedades"/>
    <w:basedOn w:val="Normal"/>
    <w:rsid w:val="00521DFA"/>
    <w:pPr>
      <w:spacing w:before="100" w:beforeAutospacing="1" w:after="100" w:afterAutospacing="1"/>
    </w:pPr>
    <w:rPr>
      <w:sz w:val="24"/>
      <w:szCs w:val="24"/>
      <w:lang w:val="es-ES"/>
    </w:rPr>
  </w:style>
  <w:style w:type="character" w:styleId="Hipervnculo">
    <w:name w:val="Hyperlink"/>
    <w:basedOn w:val="Fuentedeprrafopredeter"/>
    <w:uiPriority w:val="99"/>
    <w:unhideWhenUsed/>
    <w:rsid w:val="00521DFA"/>
    <w:rPr>
      <w:color w:val="0000FF"/>
      <w:u w:val="single"/>
    </w:rPr>
  </w:style>
  <w:style w:type="character" w:customStyle="1" w:styleId="Ttulo1Car">
    <w:name w:val="Título 1 Car"/>
    <w:basedOn w:val="Fuentedeprrafopredeter"/>
    <w:link w:val="Ttulo1"/>
    <w:uiPriority w:val="9"/>
    <w:rsid w:val="007C040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C040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C0405"/>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7C0405"/>
    <w:rPr>
      <w:rFonts w:asciiTheme="majorHAnsi" w:eastAsiaTheme="majorEastAsia" w:hAnsiTheme="majorHAnsi" w:cstheme="majorBidi"/>
      <w:i/>
      <w:iCs/>
      <w:color w:val="2E74B5" w:themeColor="accent1" w:themeShade="BF"/>
      <w:lang w:val="es-AR"/>
    </w:rPr>
  </w:style>
  <w:style w:type="character" w:customStyle="1" w:styleId="Ttulo5Car">
    <w:name w:val="Título 5 Car"/>
    <w:basedOn w:val="Fuentedeprrafopredeter"/>
    <w:link w:val="Ttulo5"/>
    <w:uiPriority w:val="9"/>
    <w:rsid w:val="007C0405"/>
    <w:rPr>
      <w:rFonts w:ascii="Times New Roman" w:eastAsia="Times New Roman" w:hAnsi="Times New Roman" w:cs="Times New Roman"/>
      <w:b/>
      <w:bCs/>
      <w:sz w:val="20"/>
      <w:szCs w:val="20"/>
      <w:lang w:eastAsia="es-ES"/>
    </w:rPr>
  </w:style>
  <w:style w:type="character" w:styleId="nfasis">
    <w:name w:val="Emphasis"/>
    <w:basedOn w:val="Fuentedeprrafopredeter"/>
    <w:uiPriority w:val="20"/>
    <w:qFormat/>
    <w:rsid w:val="007C0405"/>
    <w:rPr>
      <w:i/>
      <w:iCs/>
    </w:rPr>
  </w:style>
  <w:style w:type="paragraph" w:customStyle="1" w:styleId="nota-al-pie-new">
    <w:name w:val="nota-al-pie-new"/>
    <w:basedOn w:val="Normal"/>
    <w:rsid w:val="007C0405"/>
    <w:pPr>
      <w:spacing w:before="100" w:beforeAutospacing="1" w:after="100" w:afterAutospacing="1"/>
    </w:pPr>
    <w:rPr>
      <w:sz w:val="24"/>
      <w:szCs w:val="24"/>
      <w:lang w:val="es-ES"/>
    </w:rPr>
  </w:style>
  <w:style w:type="character" w:customStyle="1" w:styleId="char-style-override-16">
    <w:name w:val="char-style-override-16"/>
    <w:basedOn w:val="Fuentedeprrafopredeter"/>
    <w:rsid w:val="007C0405"/>
  </w:style>
  <w:style w:type="paragraph" w:customStyle="1" w:styleId="punteo-1-new">
    <w:name w:val="punteo-1-new"/>
    <w:basedOn w:val="Normal"/>
    <w:rsid w:val="007C0405"/>
    <w:pPr>
      <w:spacing w:before="100" w:beforeAutospacing="1" w:after="100" w:afterAutospacing="1"/>
    </w:pPr>
    <w:rPr>
      <w:sz w:val="24"/>
      <w:szCs w:val="24"/>
      <w:lang w:val="es-ES"/>
    </w:rPr>
  </w:style>
  <w:style w:type="paragraph" w:customStyle="1" w:styleId="redaccion-propuesta-de-articulo">
    <w:name w:val="redaccion-propuesta-de-articulo"/>
    <w:basedOn w:val="Normal"/>
    <w:rsid w:val="007C0405"/>
    <w:pPr>
      <w:spacing w:before="100" w:beforeAutospacing="1" w:after="100" w:afterAutospacing="1"/>
    </w:pPr>
    <w:rPr>
      <w:sz w:val="24"/>
      <w:szCs w:val="24"/>
      <w:lang w:val="es-ES"/>
    </w:rPr>
  </w:style>
  <w:style w:type="paragraph" w:customStyle="1" w:styleId="texto-new">
    <w:name w:val="texto-new"/>
    <w:basedOn w:val="Normal"/>
    <w:rsid w:val="007C0405"/>
    <w:pPr>
      <w:spacing w:before="100" w:beforeAutospacing="1" w:after="100" w:afterAutospacing="1"/>
    </w:pPr>
    <w:rPr>
      <w:sz w:val="24"/>
      <w:szCs w:val="24"/>
      <w:lang w:val="es-ES"/>
    </w:rPr>
  </w:style>
  <w:style w:type="character" w:customStyle="1" w:styleId="char-style-override-48">
    <w:name w:val="char-style-override-48"/>
    <w:basedOn w:val="Fuentedeprrafopredeter"/>
    <w:rsid w:val="007C0405"/>
  </w:style>
  <w:style w:type="character" w:customStyle="1" w:styleId="char-style-override-18">
    <w:name w:val="char-style-override-18"/>
    <w:basedOn w:val="Fuentedeprrafopredeter"/>
    <w:rsid w:val="007C0405"/>
  </w:style>
  <w:style w:type="paragraph" w:customStyle="1" w:styleId="Default">
    <w:name w:val="Default"/>
    <w:rsid w:val="007C0405"/>
    <w:pPr>
      <w:autoSpaceDE w:val="0"/>
      <w:autoSpaceDN w:val="0"/>
      <w:adjustRightInd w:val="0"/>
      <w:spacing w:after="0" w:line="240" w:lineRule="auto"/>
    </w:pPr>
    <w:rPr>
      <w:rFonts w:ascii="CNNBNC+Verdana" w:hAnsi="CNNBNC+Verdana" w:cs="CNNBNC+Verdana"/>
      <w:color w:val="000000"/>
      <w:sz w:val="24"/>
      <w:szCs w:val="24"/>
    </w:rPr>
  </w:style>
  <w:style w:type="paragraph" w:styleId="Textoindependiente2">
    <w:name w:val="Body Text 2"/>
    <w:basedOn w:val="Default"/>
    <w:next w:val="Default"/>
    <w:link w:val="Textoindependiente2Car"/>
    <w:uiPriority w:val="99"/>
    <w:rsid w:val="007C0405"/>
    <w:rPr>
      <w:rFonts w:cstheme="minorBidi"/>
      <w:color w:val="auto"/>
    </w:rPr>
  </w:style>
  <w:style w:type="character" w:customStyle="1" w:styleId="Textoindependiente2Car">
    <w:name w:val="Texto independiente 2 Car"/>
    <w:basedOn w:val="Fuentedeprrafopredeter"/>
    <w:link w:val="Textoindependiente2"/>
    <w:uiPriority w:val="99"/>
    <w:rsid w:val="007C0405"/>
    <w:rPr>
      <w:rFonts w:ascii="CNNBNC+Verdana" w:hAnsi="CNNBNC+Verdana"/>
      <w:sz w:val="24"/>
      <w:szCs w:val="24"/>
    </w:rPr>
  </w:style>
  <w:style w:type="paragraph" w:styleId="Textoindependiente3">
    <w:name w:val="Body Text 3"/>
    <w:basedOn w:val="Default"/>
    <w:next w:val="Default"/>
    <w:link w:val="Textoindependiente3Car"/>
    <w:uiPriority w:val="99"/>
    <w:rsid w:val="007C0405"/>
    <w:rPr>
      <w:rFonts w:cstheme="minorBidi"/>
      <w:color w:val="auto"/>
    </w:rPr>
  </w:style>
  <w:style w:type="character" w:customStyle="1" w:styleId="Textoindependiente3Car">
    <w:name w:val="Texto independiente 3 Car"/>
    <w:basedOn w:val="Fuentedeprrafopredeter"/>
    <w:link w:val="Textoindependiente3"/>
    <w:uiPriority w:val="99"/>
    <w:rsid w:val="007C0405"/>
    <w:rPr>
      <w:rFonts w:ascii="CNNBNC+Verdana" w:hAnsi="CNNBNC+Verdana"/>
      <w:sz w:val="24"/>
      <w:szCs w:val="24"/>
    </w:rPr>
  </w:style>
  <w:style w:type="character" w:customStyle="1" w:styleId="A6">
    <w:name w:val="A6"/>
    <w:uiPriority w:val="99"/>
    <w:rsid w:val="007C0405"/>
    <w:rPr>
      <w:rFonts w:cs="Minion Pro"/>
      <w:color w:val="000000"/>
      <w:sz w:val="12"/>
      <w:szCs w:val="12"/>
    </w:rPr>
  </w:style>
  <w:style w:type="paragraph" w:customStyle="1" w:styleId="Pa13">
    <w:name w:val="Pa13"/>
    <w:basedOn w:val="Default"/>
    <w:next w:val="Default"/>
    <w:uiPriority w:val="99"/>
    <w:rsid w:val="007C0405"/>
    <w:pPr>
      <w:spacing w:line="221" w:lineRule="atLeast"/>
    </w:pPr>
    <w:rPr>
      <w:rFonts w:ascii="Minion Pro" w:hAnsi="Minion Pro" w:cstheme="minorBidi"/>
      <w:color w:val="auto"/>
    </w:rPr>
  </w:style>
  <w:style w:type="character" w:customStyle="1" w:styleId="A1">
    <w:name w:val="A1"/>
    <w:uiPriority w:val="99"/>
    <w:rsid w:val="007C0405"/>
    <w:rPr>
      <w:rFonts w:cs="Minion Pro"/>
      <w:color w:val="000000"/>
      <w:sz w:val="22"/>
      <w:szCs w:val="22"/>
    </w:rPr>
  </w:style>
  <w:style w:type="paragraph" w:customStyle="1" w:styleId="Pa19">
    <w:name w:val="Pa19"/>
    <w:basedOn w:val="Default"/>
    <w:next w:val="Default"/>
    <w:uiPriority w:val="99"/>
    <w:rsid w:val="007C0405"/>
    <w:pPr>
      <w:spacing w:line="221" w:lineRule="atLeast"/>
    </w:pPr>
    <w:rPr>
      <w:rFonts w:ascii="Myriad Pro" w:hAnsi="Myriad Pro" w:cstheme="minorBidi"/>
      <w:color w:val="auto"/>
    </w:rPr>
  </w:style>
  <w:style w:type="paragraph" w:customStyle="1" w:styleId="Pa20">
    <w:name w:val="Pa20"/>
    <w:basedOn w:val="Default"/>
    <w:next w:val="Default"/>
    <w:uiPriority w:val="99"/>
    <w:rsid w:val="007C0405"/>
    <w:pPr>
      <w:spacing w:line="231" w:lineRule="atLeast"/>
    </w:pPr>
    <w:rPr>
      <w:rFonts w:ascii="Myriad Pro" w:hAnsi="Myriad Pro" w:cstheme="minorBidi"/>
      <w:color w:val="auto"/>
    </w:rPr>
  </w:style>
  <w:style w:type="paragraph" w:customStyle="1" w:styleId="Pa12">
    <w:name w:val="Pa12"/>
    <w:basedOn w:val="Default"/>
    <w:next w:val="Default"/>
    <w:uiPriority w:val="99"/>
    <w:rsid w:val="007C0405"/>
    <w:pPr>
      <w:spacing w:line="221" w:lineRule="atLeast"/>
    </w:pPr>
    <w:rPr>
      <w:rFonts w:ascii="Myriad Pro" w:hAnsi="Myriad Pro" w:cstheme="minorBidi"/>
      <w:color w:val="auto"/>
    </w:rPr>
  </w:style>
  <w:style w:type="paragraph" w:customStyle="1" w:styleId="Pa21">
    <w:name w:val="Pa21"/>
    <w:basedOn w:val="Default"/>
    <w:next w:val="Default"/>
    <w:uiPriority w:val="99"/>
    <w:rsid w:val="007C0405"/>
    <w:pPr>
      <w:spacing w:line="211" w:lineRule="atLeast"/>
    </w:pPr>
    <w:rPr>
      <w:rFonts w:ascii="Myriad Pro" w:hAnsi="Myriad Pro" w:cstheme="minorBidi"/>
      <w:color w:val="auto"/>
    </w:rPr>
  </w:style>
  <w:style w:type="paragraph" w:customStyle="1" w:styleId="Pa22">
    <w:name w:val="Pa22"/>
    <w:basedOn w:val="Default"/>
    <w:next w:val="Default"/>
    <w:uiPriority w:val="99"/>
    <w:rsid w:val="007C0405"/>
    <w:pPr>
      <w:spacing w:line="231" w:lineRule="atLeast"/>
    </w:pPr>
    <w:rPr>
      <w:rFonts w:ascii="Minion Pro" w:hAnsi="Minion Pro" w:cstheme="minorBidi"/>
      <w:color w:val="auto"/>
    </w:rPr>
  </w:style>
  <w:style w:type="paragraph" w:customStyle="1" w:styleId="Pa16">
    <w:name w:val="Pa16"/>
    <w:basedOn w:val="Default"/>
    <w:next w:val="Default"/>
    <w:uiPriority w:val="99"/>
    <w:rsid w:val="007C0405"/>
    <w:pPr>
      <w:spacing w:line="221" w:lineRule="atLeast"/>
    </w:pPr>
    <w:rPr>
      <w:rFonts w:ascii="Minion Pro" w:hAnsi="Minion Pro" w:cstheme="minorBidi"/>
      <w:color w:val="auto"/>
    </w:rPr>
  </w:style>
  <w:style w:type="paragraph" w:styleId="Textonotapie">
    <w:name w:val="footnote text"/>
    <w:basedOn w:val="Normal"/>
    <w:link w:val="TextonotapieCar"/>
    <w:uiPriority w:val="99"/>
    <w:semiHidden/>
    <w:unhideWhenUsed/>
    <w:rsid w:val="007C0405"/>
    <w:rPr>
      <w:rFonts w:asciiTheme="minorHAnsi" w:eastAsiaTheme="minorHAnsi" w:hAnsiTheme="minorHAnsi" w:cstheme="minorBidi"/>
      <w:lang w:val="es-ES" w:eastAsia="en-US"/>
    </w:rPr>
  </w:style>
  <w:style w:type="character" w:customStyle="1" w:styleId="TextonotapieCar">
    <w:name w:val="Texto nota pie Car"/>
    <w:basedOn w:val="Fuentedeprrafopredeter"/>
    <w:link w:val="Textonotapie"/>
    <w:uiPriority w:val="99"/>
    <w:semiHidden/>
    <w:rsid w:val="007C0405"/>
    <w:rPr>
      <w:sz w:val="20"/>
      <w:szCs w:val="20"/>
    </w:rPr>
  </w:style>
  <w:style w:type="character" w:styleId="Refdenotaalpie">
    <w:name w:val="footnote reference"/>
    <w:basedOn w:val="Fuentedeprrafopredeter"/>
    <w:uiPriority w:val="99"/>
    <w:semiHidden/>
    <w:unhideWhenUsed/>
    <w:rsid w:val="007C0405"/>
    <w:rPr>
      <w:vertAlign w:val="superscript"/>
    </w:rPr>
  </w:style>
  <w:style w:type="character" w:customStyle="1" w:styleId="addon-in-original-link">
    <w:name w:val="addon-in-original-link"/>
    <w:basedOn w:val="Fuentedeprrafopredeter"/>
    <w:rsid w:val="007C0405"/>
  </w:style>
  <w:style w:type="character" w:styleId="Textoennegrita">
    <w:name w:val="Strong"/>
    <w:basedOn w:val="Fuentedeprrafopredeter"/>
    <w:uiPriority w:val="22"/>
    <w:qFormat/>
    <w:rsid w:val="007C0405"/>
    <w:rPr>
      <w:b/>
      <w:bCs/>
    </w:rPr>
  </w:style>
  <w:style w:type="paragraph" w:customStyle="1" w:styleId="cintillo">
    <w:name w:val="cintillo"/>
    <w:basedOn w:val="Normal"/>
    <w:rsid w:val="007C0405"/>
    <w:pPr>
      <w:spacing w:before="100" w:beforeAutospacing="1" w:after="100" w:afterAutospacing="1"/>
    </w:pPr>
    <w:rPr>
      <w:sz w:val="24"/>
      <w:szCs w:val="24"/>
      <w:lang w:val="es-ES"/>
    </w:rPr>
  </w:style>
  <w:style w:type="character" w:customStyle="1" w:styleId="subheadline">
    <w:name w:val="subheadline"/>
    <w:basedOn w:val="Fuentedeprrafopredeter"/>
    <w:rsid w:val="007C0405"/>
  </w:style>
  <w:style w:type="character" w:customStyle="1" w:styleId="byline-date">
    <w:name w:val="byline-date"/>
    <w:basedOn w:val="Fuentedeprrafopredeter"/>
    <w:rsid w:val="007C0405"/>
  </w:style>
  <w:style w:type="character" w:customStyle="1" w:styleId="fa">
    <w:name w:val="fa"/>
    <w:basedOn w:val="Fuentedeprrafopredeter"/>
    <w:rsid w:val="007C0405"/>
  </w:style>
  <w:style w:type="character" w:customStyle="1" w:styleId="longname">
    <w:name w:val="longname"/>
    <w:basedOn w:val="Fuentedeprrafopredeter"/>
    <w:rsid w:val="007C0405"/>
  </w:style>
  <w:style w:type="character" w:customStyle="1" w:styleId="play-text">
    <w:name w:val="play-text"/>
    <w:basedOn w:val="Fuentedeprrafopredeter"/>
    <w:rsid w:val="007C0405"/>
  </w:style>
  <w:style w:type="paragraph" w:customStyle="1" w:styleId="element">
    <w:name w:val="element"/>
    <w:basedOn w:val="Normal"/>
    <w:rsid w:val="007C0405"/>
    <w:pPr>
      <w:spacing w:before="100" w:beforeAutospacing="1" w:after="100" w:afterAutospacing="1"/>
    </w:pPr>
    <w:rPr>
      <w:sz w:val="24"/>
      <w:szCs w:val="24"/>
      <w:lang w:val="es-ES"/>
    </w:rPr>
  </w:style>
  <w:style w:type="character" w:customStyle="1" w:styleId="credit">
    <w:name w:val="credit"/>
    <w:basedOn w:val="Fuentedeprrafopredeter"/>
    <w:rsid w:val="007C0405"/>
  </w:style>
  <w:style w:type="paragraph" w:styleId="z-Principiodelformulario">
    <w:name w:val="HTML Top of Form"/>
    <w:basedOn w:val="Normal"/>
    <w:next w:val="Normal"/>
    <w:link w:val="z-PrincipiodelformularioCar"/>
    <w:hidden/>
    <w:uiPriority w:val="99"/>
    <w:semiHidden/>
    <w:unhideWhenUsed/>
    <w:rsid w:val="007C0405"/>
    <w:pPr>
      <w:pBdr>
        <w:bottom w:val="single" w:sz="6" w:space="1" w:color="auto"/>
      </w:pBdr>
      <w:jc w:val="center"/>
    </w:pPr>
    <w:rPr>
      <w:rFonts w:ascii="Arial" w:hAnsi="Arial" w:cs="Arial"/>
      <w:vanish/>
      <w:sz w:val="16"/>
      <w:szCs w:val="16"/>
      <w:lang w:val="es-ES"/>
    </w:rPr>
  </w:style>
  <w:style w:type="character" w:customStyle="1" w:styleId="z-PrincipiodelformularioCar">
    <w:name w:val="z-Principio del formulario Car"/>
    <w:basedOn w:val="Fuentedeprrafopredeter"/>
    <w:link w:val="z-Principiodelformulario"/>
    <w:uiPriority w:val="99"/>
    <w:semiHidden/>
    <w:rsid w:val="007C0405"/>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7C0405"/>
    <w:pPr>
      <w:pBdr>
        <w:top w:val="single" w:sz="6" w:space="1" w:color="auto"/>
      </w:pBdr>
      <w:jc w:val="center"/>
    </w:pPr>
    <w:rPr>
      <w:rFonts w:ascii="Arial" w:hAnsi="Arial" w:cs="Arial"/>
      <w:vanish/>
      <w:sz w:val="16"/>
      <w:szCs w:val="16"/>
      <w:lang w:val="es-ES"/>
    </w:rPr>
  </w:style>
  <w:style w:type="character" w:customStyle="1" w:styleId="z-FinaldelformularioCar">
    <w:name w:val="z-Final del formulario Car"/>
    <w:basedOn w:val="Fuentedeprrafopredeter"/>
    <w:link w:val="z-Finaldelformulario"/>
    <w:uiPriority w:val="99"/>
    <w:semiHidden/>
    <w:rsid w:val="007C0405"/>
    <w:rPr>
      <w:rFonts w:ascii="Arial" w:eastAsia="Times New Roman" w:hAnsi="Arial" w:cs="Arial"/>
      <w:vanish/>
      <w:sz w:val="16"/>
      <w:szCs w:val="16"/>
      <w:lang w:eastAsia="es-ES"/>
    </w:rPr>
  </w:style>
  <w:style w:type="paragraph" w:customStyle="1" w:styleId="post-meta">
    <w:name w:val="post-meta"/>
    <w:basedOn w:val="Normal"/>
    <w:rsid w:val="007C0405"/>
    <w:pPr>
      <w:spacing w:before="100" w:beforeAutospacing="1" w:after="100" w:afterAutospacing="1"/>
    </w:pPr>
    <w:rPr>
      <w:sz w:val="24"/>
      <w:szCs w:val="24"/>
      <w:lang w:val="es-ES"/>
    </w:rPr>
  </w:style>
  <w:style w:type="character" w:customStyle="1" w:styleId="author">
    <w:name w:val="author"/>
    <w:basedOn w:val="Fuentedeprrafopredeter"/>
    <w:rsid w:val="007C0405"/>
  </w:style>
  <w:style w:type="character" w:customStyle="1" w:styleId="published">
    <w:name w:val="published"/>
    <w:basedOn w:val="Fuentedeprrafopredeter"/>
    <w:rsid w:val="007C0405"/>
  </w:style>
  <w:style w:type="character" w:customStyle="1" w:styleId="epiinterior">
    <w:name w:val="epiinterior"/>
    <w:basedOn w:val="Fuentedeprrafopredeter"/>
    <w:rsid w:val="007C0405"/>
  </w:style>
  <w:style w:type="character" w:customStyle="1" w:styleId="copyinterior">
    <w:name w:val="copyinterior"/>
    <w:basedOn w:val="Fuentedeprrafopredeter"/>
    <w:rsid w:val="007C0405"/>
  </w:style>
  <w:style w:type="character" w:customStyle="1" w:styleId="person-name">
    <w:name w:val="person-name"/>
    <w:basedOn w:val="Fuentedeprrafopredeter"/>
    <w:rsid w:val="007C0405"/>
  </w:style>
  <w:style w:type="paragraph" w:customStyle="1" w:styleId="autor">
    <w:name w:val="autor"/>
    <w:basedOn w:val="Normal"/>
    <w:rsid w:val="007C0405"/>
    <w:pPr>
      <w:spacing w:before="100" w:beforeAutospacing="1" w:after="100" w:afterAutospacing="1"/>
    </w:pPr>
    <w:rPr>
      <w:sz w:val="24"/>
      <w:szCs w:val="24"/>
      <w:lang w:val="es-ES"/>
    </w:rPr>
  </w:style>
  <w:style w:type="character" w:customStyle="1" w:styleId="aj">
    <w:name w:val="aj"/>
    <w:basedOn w:val="Fuentedeprrafopredeter"/>
    <w:rsid w:val="007C0405"/>
  </w:style>
  <w:style w:type="character" w:customStyle="1" w:styleId="indicator">
    <w:name w:val="indicator"/>
    <w:basedOn w:val="Fuentedeprrafopredeter"/>
    <w:rsid w:val="007C0405"/>
  </w:style>
  <w:style w:type="character" w:customStyle="1" w:styleId="A8">
    <w:name w:val="A8"/>
    <w:uiPriority w:val="99"/>
    <w:rsid w:val="007C0405"/>
    <w:rPr>
      <w:rFonts w:ascii="Avenir LT Std 35 Light" w:hAnsi="Avenir LT Std 35 Light" w:cs="Avenir LT Std 35 Light"/>
      <w:color w:val="000000"/>
      <w:sz w:val="11"/>
      <w:szCs w:val="11"/>
    </w:rPr>
  </w:style>
  <w:style w:type="paragraph" w:customStyle="1" w:styleId="Pa14">
    <w:name w:val="Pa14"/>
    <w:basedOn w:val="Default"/>
    <w:next w:val="Default"/>
    <w:uiPriority w:val="99"/>
    <w:rsid w:val="007C0405"/>
    <w:pPr>
      <w:spacing w:line="201" w:lineRule="atLeast"/>
    </w:pPr>
    <w:rPr>
      <w:rFonts w:ascii="Calluna" w:hAnsi="Calluna" w:cstheme="minorBidi"/>
      <w:color w:val="auto"/>
    </w:rPr>
  </w:style>
  <w:style w:type="paragraph" w:customStyle="1" w:styleId="Pa0">
    <w:name w:val="Pa0"/>
    <w:basedOn w:val="Default"/>
    <w:next w:val="Default"/>
    <w:uiPriority w:val="99"/>
    <w:rsid w:val="007C0405"/>
    <w:pPr>
      <w:spacing w:line="401" w:lineRule="atLeast"/>
    </w:pPr>
    <w:rPr>
      <w:rFonts w:ascii="Calluna" w:hAnsi="Calluna" w:cstheme="minorBidi"/>
      <w:color w:val="auto"/>
    </w:rPr>
  </w:style>
  <w:style w:type="character" w:customStyle="1" w:styleId="A0">
    <w:name w:val="A0"/>
    <w:uiPriority w:val="99"/>
    <w:rsid w:val="007C0405"/>
    <w:rPr>
      <w:rFonts w:cs="Calluna"/>
      <w:color w:val="000000"/>
      <w:sz w:val="16"/>
      <w:szCs w:val="16"/>
    </w:rPr>
  </w:style>
  <w:style w:type="paragraph" w:customStyle="1" w:styleId="Pa15">
    <w:name w:val="Pa15"/>
    <w:basedOn w:val="Default"/>
    <w:next w:val="Default"/>
    <w:uiPriority w:val="99"/>
    <w:rsid w:val="007C0405"/>
    <w:pPr>
      <w:spacing w:line="201" w:lineRule="atLeast"/>
    </w:pPr>
    <w:rPr>
      <w:rFonts w:ascii="Calluna" w:hAnsi="Calluna" w:cstheme="minorBidi"/>
      <w:color w:val="auto"/>
    </w:rPr>
  </w:style>
  <w:style w:type="paragraph" w:customStyle="1" w:styleId="Pa9">
    <w:name w:val="Pa9"/>
    <w:basedOn w:val="Default"/>
    <w:next w:val="Default"/>
    <w:uiPriority w:val="99"/>
    <w:rsid w:val="007C0405"/>
    <w:pPr>
      <w:spacing w:line="201" w:lineRule="atLeast"/>
    </w:pPr>
    <w:rPr>
      <w:rFonts w:ascii="Calluna" w:hAnsi="Calluna" w:cstheme="minorBidi"/>
      <w:color w:val="auto"/>
    </w:rPr>
  </w:style>
  <w:style w:type="paragraph" w:customStyle="1" w:styleId="Pa6">
    <w:name w:val="Pa6"/>
    <w:basedOn w:val="Default"/>
    <w:next w:val="Default"/>
    <w:uiPriority w:val="99"/>
    <w:rsid w:val="007C0405"/>
    <w:pPr>
      <w:spacing w:line="201" w:lineRule="atLeast"/>
    </w:pPr>
    <w:rPr>
      <w:rFonts w:ascii="Calluna" w:hAnsi="Calluna" w:cstheme="minorBidi"/>
      <w:color w:val="auto"/>
    </w:rPr>
  </w:style>
  <w:style w:type="paragraph" w:customStyle="1" w:styleId="Pa11">
    <w:name w:val="Pa11"/>
    <w:basedOn w:val="Default"/>
    <w:next w:val="Default"/>
    <w:uiPriority w:val="99"/>
    <w:rsid w:val="007C0405"/>
    <w:pPr>
      <w:spacing w:line="201" w:lineRule="atLeast"/>
    </w:pPr>
    <w:rPr>
      <w:rFonts w:ascii="Calluna" w:hAnsi="Calluna" w:cstheme="minorBidi"/>
      <w:color w:val="auto"/>
    </w:rPr>
  </w:style>
  <w:style w:type="character" w:customStyle="1" w:styleId="A10">
    <w:name w:val="A10"/>
    <w:uiPriority w:val="99"/>
    <w:rsid w:val="007C0405"/>
    <w:rPr>
      <w:rFonts w:cs="Calluna"/>
      <w:color w:val="000000"/>
      <w:sz w:val="20"/>
      <w:szCs w:val="20"/>
    </w:rPr>
  </w:style>
  <w:style w:type="character" w:customStyle="1" w:styleId="A4">
    <w:name w:val="A4"/>
    <w:uiPriority w:val="99"/>
    <w:rsid w:val="007C0405"/>
    <w:rPr>
      <w:rFonts w:ascii="Avenir LT Std 35 Light" w:hAnsi="Avenir LT Std 35 Light" w:cs="Avenir LT Std 35 Light"/>
      <w:color w:val="000000"/>
      <w:sz w:val="10"/>
      <w:szCs w:val="10"/>
    </w:rPr>
  </w:style>
  <w:style w:type="paragraph" w:customStyle="1" w:styleId="Pa1">
    <w:name w:val="Pa1"/>
    <w:basedOn w:val="Default"/>
    <w:next w:val="Default"/>
    <w:uiPriority w:val="99"/>
    <w:rsid w:val="007C0405"/>
    <w:pPr>
      <w:spacing w:line="241" w:lineRule="atLeast"/>
    </w:pPr>
    <w:rPr>
      <w:rFonts w:ascii="Calibri" w:hAnsi="Calibri" w:cs="Calibri"/>
      <w:color w:val="auto"/>
    </w:rPr>
  </w:style>
  <w:style w:type="character" w:customStyle="1" w:styleId="A9">
    <w:name w:val="A9"/>
    <w:uiPriority w:val="99"/>
    <w:rsid w:val="007C0405"/>
    <w:rPr>
      <w:color w:val="000000"/>
      <w:sz w:val="20"/>
      <w:szCs w:val="20"/>
    </w:rPr>
  </w:style>
  <w:style w:type="character" w:customStyle="1" w:styleId="A3">
    <w:name w:val="A3"/>
    <w:uiPriority w:val="99"/>
    <w:rsid w:val="007C0405"/>
    <w:rPr>
      <w:color w:val="000000"/>
      <w:sz w:val="18"/>
      <w:szCs w:val="18"/>
    </w:rPr>
  </w:style>
  <w:style w:type="character" w:customStyle="1" w:styleId="tooltiptext">
    <w:name w:val="tooltiptext"/>
    <w:basedOn w:val="Fuentedeprrafopredeter"/>
    <w:rsid w:val="007C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04560">
      <w:bodyDiv w:val="1"/>
      <w:marLeft w:val="0"/>
      <w:marRight w:val="0"/>
      <w:marTop w:val="0"/>
      <w:marBottom w:val="0"/>
      <w:divBdr>
        <w:top w:val="none" w:sz="0" w:space="0" w:color="auto"/>
        <w:left w:val="none" w:sz="0" w:space="0" w:color="auto"/>
        <w:bottom w:val="none" w:sz="0" w:space="0" w:color="auto"/>
        <w:right w:val="none" w:sz="0" w:space="0" w:color="auto"/>
      </w:divBdr>
    </w:div>
    <w:div w:id="755638436">
      <w:bodyDiv w:val="1"/>
      <w:marLeft w:val="0"/>
      <w:marRight w:val="0"/>
      <w:marTop w:val="0"/>
      <w:marBottom w:val="0"/>
      <w:divBdr>
        <w:top w:val="none" w:sz="0" w:space="0" w:color="auto"/>
        <w:left w:val="none" w:sz="0" w:space="0" w:color="auto"/>
        <w:bottom w:val="none" w:sz="0" w:space="0" w:color="auto"/>
        <w:right w:val="none" w:sz="0" w:space="0" w:color="auto"/>
      </w:divBdr>
    </w:div>
    <w:div w:id="7835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2626</Words>
  <Characters>14448</Characters>
  <Application>Microsoft Office Word</Application>
  <DocSecurity>0</DocSecurity>
  <Lines>120</Lines>
  <Paragraphs>34</Paragraphs>
  <ScaleCrop>false</ScaleCrop>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OmniSRL</cp:lastModifiedBy>
  <cp:revision>2</cp:revision>
  <dcterms:created xsi:type="dcterms:W3CDTF">2020-04-20T21:48:00Z</dcterms:created>
  <dcterms:modified xsi:type="dcterms:W3CDTF">2020-04-20T21:48:00Z</dcterms:modified>
</cp:coreProperties>
</file>